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right"/>
      </w:pPr>
      <w:r w:rsidR="00000000" w:rsidDel="00000000" w:rsidRPr="00000000">
        <w:rPr>
          <w:rtl w:val="0"/>
        </w:rPr>
        <w:t>September __, 2021</w:t>
      </w:r>
    </w:p>
    <w:p w:rsidR="00000000" w:rsidDel="00000000" w:rsidRDefault="00000000" w14:paraId="00000002" w:rsidP="00000000" w:rsidRPr="00000000">
      <w:pPr/>
      <w:r w:rsidR="00000000" w:rsidDel="00000000" w:rsidRPr="00000000">
        <w:rPr>
          <w:rtl w:val="0"/>
        </w:rPr>
      </w:r>
    </w:p>
    <w:p w:rsidR="00000000" w:rsidDel="00000000" w:rsidRDefault="00000000" w14:paraId="00000003" w:rsidP="00000000" w:rsidRPr="00000000">
      <w:pPr/>
      <w:r w:rsidR="00000000" w:rsidDel="00000000" w:rsidRPr="00000000">
        <w:rPr>
          <w:rtl w:val="0"/>
        </w:rPr>
        <w:t>To Whom It May Concern;</w:t>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spacing w:line="240" w:lineRule="auto"/>
      </w:pPr>
      <w:r w:rsidR="00000000" w:rsidDel="00000000" w:rsidRPr="00000000">
        <w:rPr>
          <w:rtl w:val="0"/>
        </w:rPr>
        <w:t xml:space="preserve">As a Federal Employee of ______________________________________, this letter is to inform you my Supervisor, and/or persons in authority regarding my employment of the following which you may not be aware of, but I am.  Notably the violation of existing Federal and State Non-Discrimination contracts which I and my employer have signed.  While I have not violated this part of my contract, you, my employer, have. </w:t>
      </w:r>
    </w:p>
    <w:p w:rsidR="00000000" w:rsidDel="00000000" w:rsidRDefault="00000000" w14:paraId="00000006" w:rsidP="00000000" w:rsidRPr="00000000">
      <w:pPr>
        <w:spacing w:line="240" w:lineRule="auto"/>
      </w:pPr>
      <w:r w:rsidR="00000000" w:rsidDel="00000000" w:rsidRPr="00000000">
        <w:rPr>
          <w:rtl w:val="0"/>
        </w:rPr>
      </w:r>
    </w:p>
    <w:p w:rsidR="00000000" w:rsidDel="00000000" w:rsidRDefault="00000000" w14:paraId="00000007" w:rsidP="00000000" w:rsidRPr="00000000">
      <w:pPr>
        <w:spacing w:line="240" w:lineRule="auto"/>
      </w:pPr>
      <w:r w:rsidR="00000000" w:rsidDel="00000000" w:rsidRPr="00000000">
        <w:rPr>
          <w:rtl w:val="0"/>
        </w:rPr>
        <w:t xml:space="preserve">After reviewing the COVID-19 Vaccination exception/exemption form _____________________, I learned that if I sign this document, regardless of which box I check, that I will be committing perjury of my job contract’s non-discrimination requirement and violating CFR 28 Title 42 and ORS 659a.030(g), thus subjecting myself to criminal liabilty for corporate conduct and criminal liability for conduct of another by aiding and abetting discriminatory conduct which I am required to report according to 18 USC 4 and ORS 161.095.  Consider this my notice and reporting of the discriminatory conduct by you, </w:t>
      </w:r>
      <w:r>
        <w:rPr>
          <w:b/>
          <w:u w:val="single"/>
        </w:rPr>
        <w:t>(Supervisors Name)</w:t>
      </w:r>
      <w:r>
        <w:t xml:space="preserve">, the Company </w:t>
      </w:r>
      <w:r>
        <w:rPr>
          <w:b/>
          <w:u w:val="single"/>
        </w:rPr>
        <w:t>(Company name)</w:t>
      </w:r>
      <w:r>
        <w:t xml:space="preserve">, </w:t>
      </w:r>
      <w:r>
        <w:rPr>
          <w:b/>
          <w:u w:val="single"/>
        </w:rPr>
        <w:t>(company top boss name)</w:t>
      </w:r>
      <w:r>
        <w:rPr>
          <w:u w:val="single"/>
        </w:rPr>
        <w:t>,</w:t>
      </w:r>
      <w:r>
        <w:t xml:space="preserve"> and all those subordinate to the </w:t>
      </w:r>
      <w:r>
        <w:rPr>
          <w:b/>
          <w:u w:val="single"/>
        </w:rPr>
        <w:t>(Bosses name)</w:t>
      </w:r>
      <w:r>
        <w:t xml:space="preserve"> who are guilty of the above.</w:t>
      </w:r>
    </w:p>
    <w:p w:rsidR="00000000" w:rsidDel="00000000" w:rsidRDefault="00000000" w14:paraId="00000008" w:rsidP="00000000" w:rsidRPr="00000000">
      <w:pPr>
        <w:spacing w:line="240" w:lineRule="auto"/>
      </w:pPr>
      <w:r w:rsidR="00000000" w:rsidDel="00000000" w:rsidRPr="00000000">
        <w:rPr>
          <w:rtl w:val="0"/>
        </w:rPr>
      </w:r>
    </w:p>
    <w:p w:rsidR="00000000" w:rsidDel="00000000" w:rsidRDefault="00000000" w14:paraId="00000009" w:rsidP="00000000" w:rsidRPr="00000000">
      <w:pPr>
        <w:spacing w:line="240" w:lineRule="auto"/>
      </w:pPr>
      <w:r w:rsidR="00000000" w:rsidDel="00000000" w:rsidRPr="00000000">
        <w:rPr>
          <w:rtl w:val="0"/>
        </w:rPr>
        <w:t xml:space="preserve">Your current efforts to enforce illegal Federal and State mandates for Masks, PCR Tests, Vaccines and/or ANY medical treatment is unlawful and opens the Federal Government to great liability, criminal charges, and open to civil proceedings for psychological and financial damages as they force employees and individuals themselves to enforce these mandates. This is NOT just for the </w:t>
      </w:r>
      <w:r>
        <w:rPr>
          <w:u w:val="single"/>
        </w:rPr>
        <w:t>(Federal Employer Name)</w:t>
      </w:r>
      <w:r>
        <w:t>, but also includes suing individuals who are enforcing such illegal mandates falling under discrimination.  Current laws that support this fall under “Unlawful Discrimination in Employment, Public Accommodations and Real Property Transactions”, NOTE: Federal Agencies in Oregon also fall under State Law:</w:t>
      </w:r>
    </w:p>
    <w:p w:rsidR="00000000" w:rsidDel="00000000" w:rsidRDefault="00000000" w14:paraId="0000000A" w:rsidP="00000000" w:rsidRPr="00000000">
      <w:pPr>
        <w:spacing w:line="240" w:lineRule="auto"/>
      </w:pPr>
      <w:r w:rsidR="00000000" w:rsidDel="00000000" w:rsidRPr="00000000">
        <w:rPr>
          <w:rtl w:val="0"/>
        </w:rPr>
      </w:r>
    </w:p>
    <w:p w:rsidR="00000000" w:rsidDel="00000000" w:rsidRDefault="00000000" w14:paraId="0000000B" w:rsidP="00000000" w:rsidRPr="00000000">
      <w:pPr>
        <w:keepNext w:val="0"/>
        <w:keepLines w:val="0"/>
        <w:shd w:fill="FAFAFA" w:val="clear"/>
        <w:pStyle w:val="Heading2"/>
        <w:numPr>
          <w:ilvl w:val="0"/>
          <w:numId w:val="10121982"/>
        </w:numPr>
        <w:ind w:left="720"/>
        <w:ind w:hanging="360"/>
        <w:spacing w:before="0" w:after="0" w:afterAutospacing="0" w:line="240" w:lineRule="auto"/>
        <w:rPr>
          <w:rFonts w:ascii="Roboto" w:cs="Roboto" w:eastAsia="Roboto" w:hAnsi="Roboto"/>
        </w:rPr>
      </w:pPr>
      <w:bookmarkStart w:colFirst="0" w:colLast="0" w:name="_w3bzjsh34bp9" w:id="0"/>
      <w:bookmarkEnd w:id="0"/>
      <w:r w:rsidR="00000000" w:rsidDel="00000000" w:rsidRPr="00000000">
        <w:rPr>
          <w:rtl w:val="0"/>
          <w:rFonts w:ascii="Roboto" w:cs="Roboto" w:eastAsia="Roboto" w:hAnsi="Roboto"/>
          <w:sz w:val="22"/>
          <w:szCs w:val="22"/>
        </w:rPr>
        <w:t>ORS 659A.030 - Discrimination because of race, color, religion, sex, sexual orientation, national origin, marital status, age or expunged juvenile record prohibited.</w:t>
      </w:r>
    </w:p>
    <w:p w:rsidR="00000000" w:rsidDel="00000000" w:rsidRDefault="00000000" w14:paraId="0000000C" w:rsidP="00000000" w:rsidRPr="00000000">
      <w:pPr>
        <w:keepNext w:val="0"/>
        <w:keepLines w:val="0"/>
        <w:shd w:fill="FAFAFA" w:val="clear"/>
        <w:pStyle w:val="Heading2"/>
        <w:numPr>
          <w:ilvl w:val="0"/>
          <w:numId w:val="10121982"/>
        </w:numPr>
        <w:ind w:left="720"/>
        <w:ind w:hanging="360"/>
        <w:spacing w:before="0" w:after="0" w:afterAutospacing="0" w:line="240" w:lineRule="auto"/>
      </w:pPr>
      <w:bookmarkStart w:colFirst="0" w:colLast="0" w:name="_b0u8palr8k5m" w:id="1"/>
      <w:bookmarkEnd w:id="1"/>
      <w:r w:rsidR="00000000" w:rsidDel="00000000" w:rsidRPr="00000000">
        <w:rPr>
          <w:rtl w:val="0"/>
          <w:rFonts w:ascii="Roboto" w:cs="Roboto" w:eastAsia="Roboto" w:hAnsi="Roboto"/>
          <w:sz w:val="22"/>
          <w:szCs w:val="22"/>
        </w:rPr>
        <w:t>ORS 659A.375 - Employer policies relating to prevention of discrimination and sexual assault.</w:t>
      </w:r>
    </w:p>
    <w:p w:rsidR="00000000" w:rsidDel="00000000" w:rsidRDefault="00000000" w14:paraId="0000000D" w:rsidP="00000000" w:rsidRPr="00000000">
      <w:pPr>
        <w:keepNext w:val="0"/>
        <w:keepLines w:val="0"/>
        <w:shd w:fill="FAFAFA" w:val="clear"/>
        <w:pStyle w:val="Heading2"/>
        <w:numPr>
          <w:ilvl w:val="0"/>
          <w:numId w:val="10121982"/>
        </w:numPr>
        <w:ind w:left="720"/>
        <w:ind w:hanging="360"/>
        <w:spacing w:before="0" w:after="0" w:afterAutospacing="0" w:line="240" w:lineRule="auto"/>
      </w:pPr>
      <w:bookmarkStart w:colFirst="0" w:colLast="0" w:name="_b4zt15qubbro" w:id="2"/>
      <w:bookmarkEnd w:id="2"/>
      <w:r w:rsidR="00000000" w:rsidDel="00000000" w:rsidRPr="00000000">
        <w:rPr>
          <w:rtl w:val="0"/>
          <w:rFonts w:ascii="Roboto" w:cs="Roboto" w:eastAsia="Roboto" w:hAnsi="Roboto"/>
          <w:sz w:val="22"/>
          <w:szCs w:val="22"/>
        </w:rPr>
        <w:t>ORS 659A.400 - Place of public accommodation defined.</w:t>
      </w:r>
    </w:p>
    <w:p w:rsidR="00000000" w:rsidDel="00000000" w:rsidRDefault="00000000" w14:paraId="0000000E" w:rsidP="00000000" w:rsidRPr="00000000">
      <w:pPr>
        <w:keepNext w:val="0"/>
        <w:keepLines w:val="0"/>
        <w:shd w:fill="FAFAFA" w:val="clear"/>
        <w:pStyle w:val="Heading2"/>
        <w:numPr>
          <w:ilvl w:val="0"/>
          <w:numId w:val="10121982"/>
        </w:numPr>
        <w:ind w:left="720"/>
        <w:ind w:hanging="360"/>
        <w:spacing w:before="0" w:after="0" w:afterAutospacing="0" w:line="240" w:lineRule="auto"/>
      </w:pPr>
      <w:bookmarkStart w:colFirst="0" w:colLast="0" w:name="_vtkwost5kg5p" w:id="3"/>
      <w:bookmarkEnd w:id="3"/>
      <w:r w:rsidR="00000000" w:rsidDel="00000000" w:rsidRPr="00000000">
        <w:rPr>
          <w:rtl w:val="0"/>
          <w:rFonts w:ascii="Roboto" w:cs="Roboto" w:eastAsia="Roboto" w:hAnsi="Roboto"/>
          <w:sz w:val="22"/>
          <w:szCs w:val="22"/>
        </w:rPr>
        <w:t>ORS 659A.403 - Discrimination in place of public accommodation prohibited.</w:t>
      </w:r>
    </w:p>
    <w:p w:rsidR="00000000" w:rsidDel="00000000" w:rsidRDefault="00000000" w14:paraId="0000000F" w:rsidP="00000000" w:rsidRPr="00000000">
      <w:pPr>
        <w:keepNext w:val="0"/>
        <w:keepLines w:val="0"/>
        <w:shd w:fill="FAFAFA" w:val="clear"/>
        <w:pStyle w:val="Heading2"/>
        <w:numPr>
          <w:ilvl w:val="0"/>
          <w:numId w:val="10121982"/>
        </w:numPr>
        <w:ind w:left="720"/>
        <w:ind w:hanging="360"/>
        <w:spacing w:before="0" w:after="80" w:line="240" w:lineRule="auto"/>
      </w:pPr>
      <w:bookmarkStart w:colFirst="0" w:colLast="0" w:name="_orqttk2ttgi4" w:id="4"/>
      <w:bookmarkEnd w:id="4"/>
      <w:r w:rsidR="00000000" w:rsidDel="00000000" w:rsidRPr="00000000">
        <w:rPr>
          <w:rtl w:val="0"/>
          <w:rFonts w:ascii="Roboto" w:cs="Roboto" w:eastAsia="Roboto" w:hAnsi="Roboto"/>
          <w:sz w:val="22"/>
          <w:szCs w:val="22"/>
        </w:rPr>
        <w:t>ORS 659A.409 - Notice that discrimination will be made in place of public accommodation prohibited.</w:t>
      </w:r>
    </w:p>
    <w:p w:rsidR="00000000" w:rsidDel="00000000" w:rsidRDefault="00000000" w14:paraId="00000010" w:rsidP="00000000" w:rsidRPr="00000000">
      <w:pPr/>
      <w:r w:rsidR="00000000" w:rsidDel="00000000" w:rsidRPr="00000000">
        <w:rPr>
          <w:rtl w:val="0"/>
        </w:rPr>
      </w:r>
    </w:p>
    <w:p w:rsidR="00000000" w:rsidDel="00000000" w:rsidRDefault="00000000" w14:paraId="00000011" w:rsidP="00000000" w:rsidRPr="00000000">
      <w:pPr/>
      <w:r w:rsidR="00000000" w:rsidDel="00000000" w:rsidRPr="00000000">
        <w:rPr>
          <w:rtl w:val="0"/>
        </w:rPr>
        <w:t>In addition, under ORS 433.416 (3) - When Employer to provide preventative immunization</w:t>
      </w:r>
    </w:p>
    <w:p w:rsidR="00000000" w:rsidDel="00000000" w:rsidRDefault="00000000" w14:paraId="00000012" w:rsidP="00000000" w:rsidRPr="00000000">
      <w:pPr>
        <w:numPr>
          <w:ilvl w:val="0"/>
          <w:numId w:val="1"/>
        </w:numPr>
        <w:ind w:left="720"/>
        <w:ind w:hanging="360"/>
        <w:rPr>
          <w:u w:val="none"/>
        </w:rPr>
      </w:pPr>
      <w:r w:rsidR="00000000" w:rsidDel="00000000" w:rsidRPr="00000000">
        <w:rPr>
          <w:rtl w:val="0"/>
        </w:rPr>
        <w:t xml:space="preserve">An employer of a </w:t>
      </w:r>
      <w:r w:rsidR="00000000" w:rsidDel="00000000" w:rsidRPr="00000000">
        <w:rPr>
          <w:rtl w:val="0"/>
          <w:b/>
        </w:rPr>
        <w:t xml:space="preserve">health care worker </w:t>
      </w:r>
      <w:r w:rsidR="00000000" w:rsidDel="00000000" w:rsidRPr="00000000">
        <w:rPr>
          <w:rtl w:val="0"/>
        </w:rPr>
        <w:t>at risk of contracting an infectious disease in the course of employment shall provide to the worker preventive immunization for infectious disease if such preventive immunization is available and is medically appropriate.</w:t>
      </w:r>
    </w:p>
    <w:p w:rsidR="00000000" w:rsidDel="00000000" w:rsidRDefault="00000000" w14:paraId="00000013" w:rsidP="00000000" w:rsidRPr="00000000">
      <w:pPr>
        <w:numPr>
          <w:ilvl w:val="0"/>
          <w:numId w:val="1"/>
        </w:numPr>
        <w:ind w:left="720"/>
        <w:ind w:hanging="360"/>
        <w:rPr>
          <w:u w:val="none"/>
        </w:rPr>
      </w:pPr>
      <w:r w:rsidR="00000000" w:rsidDel="00000000" w:rsidRPr="00000000">
        <w:rPr>
          <w:rtl w:val="0"/>
        </w:rPr>
        <w:t>Such preventive immunization shall be provided by the employer at no cost to the worker.</w:t>
      </w:r>
    </w:p>
    <w:p w:rsidR="00000000" w:rsidDel="00000000" w:rsidRDefault="00000000" w14:paraId="00000014" w:rsidP="00000000" w:rsidRPr="00000000">
      <w:pPr>
        <w:numPr>
          <w:ilvl w:val="0"/>
          <w:numId w:val="1"/>
        </w:numPr>
        <w:ind w:left="720"/>
        <w:ind w:hanging="360"/>
        <w:rPr>
          <w:b/>
        </w:rPr>
      </w:pPr>
      <w:r w:rsidR="00000000" w:rsidDel="00000000" w:rsidRPr="00000000">
        <w:rPr>
          <w:rtl w:val="0"/>
          <w:b/>
        </w:rPr>
        <w:t>A worker shall not be required as a condition of work to be immunized under this section, unless such immunization is otherwise required by federal or state law, rule or regulation.</w:t>
      </w:r>
    </w:p>
    <w:p>
      <w:pPr>
        <w:spacing w:line="240" w:lineRule="auto"/>
      </w:pPr>
      <w:r/>
    </w:p>
    <w:p>
      <w:pPr>
        <w:spacing w:line="240" w:lineRule="auto"/>
      </w:pPr>
      <w:r/>
    </w:p>
    <w:p w:rsidR="00000000" w:rsidDel="00000000" w:rsidRDefault="00000000" w14:paraId="00000015" w:rsidP="00000000" w:rsidRPr="00000000">
      <w:pPr>
        <w:spacing w:line="240" w:lineRule="auto"/>
      </w:pPr>
      <w:r w:rsidR="00000000" w:rsidDel="00000000" w:rsidRPr="00000000">
        <w:rPr>
          <w:rtl w:val="0"/>
        </w:rPr>
        <w:t xml:space="preserve">Oregon Governor mandates, directives, and emergency orders do not trump Oregon Law.  </w:t>
      </w:r>
      <w:r w:rsidR="00000000" w:rsidDel="00000000" w:rsidRPr="00000000">
        <w:rPr>
          <w:rtl w:val="0"/>
        </w:rPr>
        <w:t xml:space="preserve">You have placed me in the unique position to seek remedy based on Oregon Law unless your attempts at mandates aren’t fully retracted immediately.  Should the </w:t>
      </w:r>
      <w:r>
        <w:rPr>
          <w:b/>
          <w:u w:val="single"/>
        </w:rPr>
        <w:t>(Federal Organization you work for)</w:t>
      </w:r>
      <w:r>
        <w:t xml:space="preserve"> not take immediate corrective action, then financial remedies will be sought under current laws for damages on the above violations.  </w:t>
      </w:r>
    </w:p>
    <w:p w:rsidR="00000000" w:rsidDel="00000000" w:rsidRDefault="00000000" w14:paraId="00000016" w:rsidP="00000000" w:rsidRPr="00000000">
      <w:pPr>
        <w:spacing w:line="240" w:lineRule="auto"/>
        <w:rPr>
          <w:b/>
          <w:u w:val="single"/>
          <w:color w:val="ED4139"/>
          <w:highlight w:val="white"/>
        </w:rPr>
      </w:pPr>
      <w:r w:rsidR="00000000" w:rsidDel="00000000" w:rsidRPr="00000000">
        <w:rPr>
          <w:rtl w:val="0"/>
        </w:rPr>
      </w:r>
    </w:p>
    <w:p w:rsidR="00000000" w:rsidDel="00000000" w:rsidRDefault="00000000" w14:paraId="00000017" w:rsidP="00000000" w:rsidRPr="00000000">
      <w:pPr>
        <w:spacing w:line="240" w:lineRule="auto"/>
        <w:rPr>
          <w:color w:val="222222"/>
          <w:highlight w:val="white"/>
        </w:rPr>
      </w:pPr>
      <w:r w:rsidR="00000000" w:rsidDel="00000000" w:rsidRPr="00000000">
        <w:rPr>
          <w:rtl w:val="0"/>
          <w:color w:val="222222"/>
          <w:highlight w:val="white"/>
        </w:rPr>
        <w:t xml:space="preserve">Know that I cannot in good faith, to perform my employment contract and non discrimination policy, abide in unlawful policy decisions nor condone their application to other persons. </w:t>
      </w:r>
    </w:p>
    <w:p>
      <w:pPr>
        <w:spacing w:line="240" w:lineRule="auto"/>
      </w:pPr>
      <w:r>
        <w:t xml:space="preserve">According to ORS 431.180 Interference with individual’s selection of health care provider, treatment or religious practice prohibited.  (1) Nothing in ORS 431.001 findings to  and  or any other public health law of this state shall be construed as authorizing the Oregon Health Authority or its representatives, or any local public health authority or its representatives, to interfere in any manner with an individual’s right to select the physician, physician assistant, naturopathic physician or nurse practitioner of the individual’s choice or the individual’s choice of  </w:t>
      </w:r>
    </w:p>
    <w:p>
      <w:pPr>
        <w:spacing w:line="240" w:lineRule="auto"/>
      </w:pPr>
      <w:r>
        <w:t xml:space="preserve">mode of treatment, nor as interfering with the practice of a person whose religion treats or administers sick or suffering people by purely spiritual means. In addition as a health care worker, under ORS 433.416 (3) - When Employer to provide preventative immunization. </w:t>
      </w:r>
    </w:p>
    <w:p>
      <w:pPr>
        <w:spacing w:line="240" w:lineRule="auto"/>
      </w:pPr>
      <w:r/>
    </w:p>
    <w:p>
      <w:pPr>
        <w:spacing w:line="240" w:lineRule="auto"/>
      </w:pPr>
      <w:r>
        <w:t xml:space="preserve">ORS 431A.015(2)(d)(A)(B), ORS 433.416(3), ORS 659A.030(d)(f)(g), ORS 659.850, ORS 659A.375, ORS 659A.400, ORS 659A.403, ORS 659A.406, ORS 659A.409 and ORS 659A.142, 42 USC 2000(series), ORS 659.850 (educational institutions of ANY KIND) 18 USC 241, 242, and 18 USC 4, I cannot faithfully execute my employment contract while violating the state and federal constitutions and federal and state laws, while also remaining silent and obedient to this deprivation of protected rights. I intend to keep my employment as protected by many other statutes and will continue to uphold the laws of this state. </w:t>
      </w:r>
    </w:p>
    <w:p>
      <w:pPr>
        <w:spacing w:line="240" w:lineRule="auto"/>
      </w:pPr>
      <w:r/>
    </w:p>
    <w:p>
      <w:pPr>
        <w:spacing w:line="240" w:lineRule="auto"/>
      </w:pPr>
      <w:r>
        <w:t xml:space="preserve">The following was a ruling of the United States Supreme Court shortly after the "civil war" in Ex parte Milligan, 71 U.S. 2 (1866) which yet stands to this day: "Neither the legislature nor any executive or judicial officer may disregard the provisions of the Constitution in case of emergency..."   It goes on, "Section 98 therefore, ANYONE who declares the suspension of constitutionally guaranteed rights  (including to freely travel, peacefully assemble, earn a living, freely worship, etc.) and or attempts to enforce such suspension within 50 independent, sovereign, continental United States of America is making war against our constitution(s) (Federal and State) and, therefore, WE THE PEOPLE.  They violate their constitutional oath and, thus, immediately forfeit their office and authority and their proclamations may be disregarded with impunity and that means ANYONE; even the governor and President. </w:t>
      </w:r>
    </w:p>
    <w:p>
      <w:pPr>
        <w:spacing w:line="240" w:lineRule="auto"/>
      </w:pPr>
      <w:r/>
    </w:p>
    <w:p>
      <w:pPr>
        <w:spacing w:line="240" w:lineRule="auto"/>
      </w:pPr>
      <w:r>
        <w:t xml:space="preserve">One last trump card regarding the enforcement of these illegal mandates that are discriminatory and violate my Civil Rights....In Cruzan v. Director, Missouri Department of Health, 497 U.S. 261 (1990), the US Supreme Court's majority opinion asserted that "a competent person has a constitutionally protected liberty interest in refusing unwanted medical treatment."  Masks, testing, and vaccines all  fall under this ruling.  </w:t>
      </w:r>
    </w:p>
    <w:p>
      <w:pPr>
        <w:spacing w:line="240" w:lineRule="auto"/>
      </w:pPr>
      <w:r/>
    </w:p>
    <w:p>
      <w:pPr>
        <w:spacing w:line="240" w:lineRule="auto"/>
      </w:pPr>
      <w:r>
        <w:t>This letter serves as a legal notice pursuant to ORS 71.2020. Now you know and are fully responsible to act on this knowledge in good faith.  Thank you for understanding.</w:t>
      </w:r>
    </w:p>
    <w:p>
      <w:pPr>
        <w:spacing w:line="240" w:lineRule="auto"/>
      </w:pPr>
      <w:r/>
    </w:p>
    <w:p>
      <w:pPr>
        <w:spacing w:line="240" w:lineRule="auto"/>
      </w:pPr>
      <w:r>
        <w:t>Sincerely,</w:t>
      </w:r>
    </w:p>
    <w:p w:rsidR="00000000" w:rsidDel="00000000" w:rsidRDefault="00000000" w14:paraId="0000001A" w:rsidP="00000000" w:rsidRPr="00000000">
      <w:pPr>
        <w:spacing w:line="240" w:lineRule="auto"/>
        <w:rPr>
          <w:color w:val="222222"/>
          <w:highlight w:val="white"/>
        </w:rPr>
      </w:pPr>
      <w:r w:rsidR="00000000" w:rsidDel="00000000" w:rsidRPr="00000000">
        <w:rPr>
          <w:rtl w:val="0"/>
        </w:rPr>
      </w:r>
    </w:p>
    <w:p w:rsidR="00000000" w:rsidDel="00000000" w:rsidRDefault="00000000" w14:paraId="0000001B" w:rsidP="00000000" w:rsidRPr="00000000">
      <w:pPr>
        <w:rPr>
          <w:color w:val="222222"/>
          <w:highlight w:val="white"/>
        </w:rPr>
      </w:pPr>
      <w:r w:rsidR="00000000" w:rsidDel="00000000" w:rsidRPr="00000000">
        <w:rPr>
          <w:rtl w:val="0"/>
        </w:rPr>
      </w:r>
    </w:p>
    <w:p w:rsidR="00000000" w:rsidDel="00000000" w:rsidRDefault="00000000" w14:paraId="0000001D" w:rsidP="00000000" w:rsidRPr="00000000">
      <w:pPr>
        <w:rPr>
          <w:color w:val="222222"/>
          <w:highlight w:val="white"/>
        </w:rPr>
      </w:pPr>
      <w:r w:rsidR="00000000" w:rsidDel="00000000" w:rsidRPr="00000000">
        <w:rPr>
          <w:rtl w:val="0"/>
          <w:color w:val="222222"/>
          <w:highlight w:val="white"/>
        </w:rPr>
        <w:t>________________________________________</w:t>
      </w:r>
    </w:p>
    <w:p w:rsidR="00000000" w:rsidDel="00000000" w:rsidRDefault="00000000" w14:paraId="0000001E" w:rsidP="00000000" w:rsidRPr="00000000">
      <w:pPr>
        <w:rPr>
          <w:color w:val="222222"/>
          <w:highlight w:val="white"/>
        </w:rPr>
      </w:pPr>
      <w:r w:rsidR="00000000" w:rsidDel="00000000" w:rsidRPr="00000000">
        <w:rPr>
          <w:rtl w:val="0"/>
        </w:rPr>
      </w:r>
    </w:p>
    <w:p w:rsidR="00000000" w:rsidDel="00000000" w:rsidRDefault="00000000" w14:paraId="0000001F" w:rsidP="00000000" w:rsidRPr="00000000">
      <w:pPr>
        <w:rPr>
          <w:color w:val="222222"/>
          <w:highlight w:val="white"/>
        </w:rPr>
      </w:pPr>
      <w:r>
        <w:t>****  NOTE: Check to see if your employer/HR has a Discrimination Claim form and/or a Civil Rights Violation Claim form.  ODOT has both, the VA has the first. These should be submitted with your letter above. ****</w:t>
      </w:r>
    </w:p>
    <w:p>
      <w:r/>
    </w:p>
    <w:p>
      <w:r>
        <w:t>NOTE: Any further company documents should be signed with "without prejudice" or "UD"(Under Duress) or “under protest.”</w:t>
      </w:r>
    </w:p>
    <w:p>
      <w:r/>
    </w:p>
    <w:p>
      <w:r>
        <w:t>A party that, with explicit reservation of rights, performs or promises performance or assents to performance in a manner demanded or offered by the other party does not thereby prejudice the rights reserved. Such words as “without prejudice,” “under protest” or the like are sufficient.</w:t>
      </w:r>
    </w:p>
    <w:p>
      <w:r/>
    </w:p>
    <w:p>
      <w:pPr>
        <w:rPr>
          <w:b/>
        </w:rPr>
      </w:pPr>
      <w:r>
        <w:rPr>
          <w:b/>
        </w:rPr>
        <w:t>Poindexter v. Greenhow, 114 U.S. 270, 303 (1885). Brady v. U.S., 397 U.S. 742, 748, (1970) “Waivers of Constitutional Rights, not only must they be voluntary, they must be knowingly intelligent acts done with sufficient awareness.</w:t>
      </w:r>
    </w:p>
    <w:p>
      <w:r/>
    </w:p>
    <w:p>
      <w:pPr>
        <w:rPr>
          <w:b/>
        </w:rPr>
      </w:pPr>
      <w:r>
        <w:rPr>
          <w:b/>
        </w:rPr>
        <w:t>Dear Oregonian,</w:t>
      </w:r>
    </w:p>
    <w:p>
      <w:pPr>
        <w:rPr>
          <w:b/>
        </w:rPr>
      </w:pPr>
      <w:r>
        <w:rPr>
          <w:b/>
        </w:rPr>
      </w:r>
    </w:p>
    <w:p>
      <w:pPr>
        <w:rPr>
          <w:b/>
        </w:rPr>
      </w:pPr>
      <w:r>
        <w:rPr>
          <w:b/>
        </w:rPr>
        <w:t xml:space="preserve">       This supplied “State Letter of Declination” is not legal advice. It is available to all Citizens of Oregon as an educational tool courtesy of Paul Romero for Oregon Governor Advisory Team.  It is recommended that you take the time and read the laws provided.  Oregon law is written in a way that most anyone can understand it and also provides definitions for words in the law. Any question can be addressed to Paul at 458-256-9437, please text first.  If necessary we can accommodate a Zoom group call to answer any questions.  We realize that many requests will come. We just ask that you be patient as the demand will grow. Many people have dedicated their personal time and skills to generating this document that is to provide protection from those who would knowingly or unknowingly violate your Constitutionally protected rights.  It’s time to put them on notice.</w:t>
      </w:r>
    </w:p>
    <w:p>
      <w:pPr>
        <w:rPr>
          <w:b/>
        </w:rPr>
      </w:pPr>
      <w:r>
        <w:rPr>
          <w:b/>
        </w:rPr>
      </w:r>
    </w:p>
    <w:p>
      <w:pPr>
        <w:rPr>
          <w:b/>
        </w:rPr>
      </w:pPr>
      <w:r>
        <w:rPr>
          <w:b/>
        </w:rPr>
        <w:t>Never give up, never surrender.  That’s the other guy's problem.  The above draws a line in the sand...BEHIND THEM.  This is your way to point it out and move them back.  God bless you all.</w:t>
      </w:r>
    </w:p>
    <w:p>
      <w:pPr>
        <w:rPr>
          <w:b/>
        </w:rPr>
      </w:pPr>
      <w:r>
        <w:rPr>
          <w:b/>
        </w:rPr>
      </w:r>
    </w:p>
    <w:p>
      <w:pPr>
        <w:rPr>
          <w:b/>
        </w:rPr>
      </w:pPr>
      <w:r>
        <w:rPr>
          <w:b/>
        </w:rPr>
        <w:t>Sincerely,</w:t>
      </w:r>
    </w:p>
    <w:p>
      <w:pPr>
        <w:rPr>
          <w:b/>
        </w:rPr>
      </w:pPr>
      <w:r>
        <w:rPr>
          <w:b/>
        </w:rPr>
      </w:r>
    </w:p>
    <w:p>
      <w:pPr>
        <w:rPr>
          <w:b/>
        </w:rPr>
      </w:pPr>
      <w:r>
        <w:rPr>
          <w:b/>
        </w:rPr>
        <w:t>Paul J. Romero, Jr.</w:t>
      </w:r>
    </w:p>
    <w:p>
      <w:pPr>
        <w:rPr>
          <w:b/>
        </w:rPr>
      </w:pPr>
      <w:r>
        <w:rPr>
          <w:b/>
        </w:rPr>
      </w:r>
    </w:p>
    <w:p>
      <w:pPr>
        <w:rPr>
          <w:b/>
        </w:rPr>
      </w:pPr>
      <w:r>
        <w:rPr>
          <w:b/>
        </w:rPr>
        <w:t>Candidate for Oregon Governor</w:t>
      </w:r>
    </w:p>
    <w:p>
      <w:r/>
    </w:p>
    <w:p>
      <w:r/>
    </w:p>
    <w:p>
      <w:r>
        <w:t>(Please take the time to read my “Contract With Oregon.” It addresses the COMMON GROUND of Oregonians.)</w:t>
      </w: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Verdan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2">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3">
    <w:multiLevelType w:val="hybridMultilevel"/>
    <w:lvl w:ilvl="0">
      <w:numFmt w:val="decimal"/>
      <w:lvlText w:val="(%1)"/>
      <w:start w:val="1"/>
      <w:rPr>
        <w:u w:val="none"/>
      </w:rPr>
      <w:pPr>
        <w:ind w:left="720"/>
        <w:ind w:hanging="360"/>
      </w:pPr>
      <w:lvlJc w:val="left"/>
    </w:lvl>
    <w:lvl w:ilvl="1">
      <w:numFmt w:val="lowerLetter"/>
      <w:lvlText w:val="(%2)"/>
      <w:start w:val="1"/>
      <w:rPr>
        <w:u w:val="none"/>
      </w:rPr>
      <w:pPr>
        <w:ind w:left="1440"/>
        <w:ind w:hanging="360"/>
      </w:pPr>
      <w:lvlJc w:val="left"/>
    </w:lvl>
    <w:lvl w:ilvl="2">
      <w:numFmt w:val="lowerRoman"/>
      <w:lvlText w:val="(%3)"/>
      <w:start w:val="1"/>
      <w:rPr>
        <w:u w:val="none"/>
      </w:rPr>
      <w:pPr>
        <w:ind w:left="2160"/>
        <w:ind w:hanging="360"/>
      </w:pPr>
      <w:lvlJc w:val="right"/>
    </w:lvl>
    <w:lvl w:ilvl="3">
      <w:numFmt w:val="decimal"/>
      <w:lvlText w:val="%4)"/>
      <w:start w:val="1"/>
      <w:rPr>
        <w:u w:val="none"/>
      </w:rPr>
      <w:pPr>
        <w:ind w:left="2880"/>
        <w:ind w:hanging="360"/>
      </w:pPr>
      <w:lvlJc w:val="left"/>
    </w:lvl>
    <w:lvl w:ilvl="4">
      <w:numFmt w:val="lowerLetter"/>
      <w:lvlText w:val="%5)"/>
      <w:start w:val="1"/>
      <w:rPr>
        <w:u w:val="none"/>
      </w:rPr>
      <w:pPr>
        <w:ind w:left="3600"/>
        <w:ind w:hanging="360"/>
      </w:pPr>
      <w:lvlJc w:val="left"/>
    </w:lvl>
    <w:lvl w:ilvl="5">
      <w:numFmt w:val="lowerRoman"/>
      <w:lvlText w:val="%6)"/>
      <w:start w:val="1"/>
      <w:rPr>
        <w:u w:val="none"/>
      </w:rPr>
      <w:pPr>
        <w:ind w:left="4320"/>
        <w:ind w:hanging="360"/>
      </w:pPr>
      <w:lvlJc w:val="right"/>
    </w:lvl>
    <w:lvl w:ilvl="6">
      <w:numFmt w:val="decimal"/>
      <w:lvlText w:val="%7."/>
      <w:start w:val="1"/>
      <w:rPr>
        <w:u w:val="none"/>
      </w:rPr>
      <w:pPr>
        <w:ind w:left="5040"/>
        <w:ind w:hanging="360"/>
      </w:pPr>
      <w:lvlJc w:val="left"/>
    </w:lvl>
    <w:lvl w:ilvl="7">
      <w:numFmt w:val="lowerLetter"/>
      <w:lvlText w:val="%8."/>
      <w:start w:val="1"/>
      <w:rPr>
        <w:u w:val="none"/>
      </w:rPr>
      <w:pPr>
        <w:ind w:left="5760"/>
        <w:ind w:hanging="360"/>
      </w:pPr>
      <w:lvlJc w:val="left"/>
    </w:lvl>
    <w:lvl w:ilvl="8">
      <w:numFmt w:val="lowerRoman"/>
      <w:lvlText w:val="%9."/>
      <w:start w:val="1"/>
      <w:rPr>
        <w:u w:val="none"/>
      </w:rPr>
      <w:pPr>
        <w:ind w:left="6480"/>
        <w:ind w:hanging="36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mero4oregon@gmail.com" TargetMode="External"/><Relationship Id="rId7" Type="http://schemas.openxmlformats.org/officeDocument/2006/relationships/hyperlink" Target="http://www.romerofororeg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